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Hlk62548567"/>
      <w:bookmarkStart w:id="1" w:name="_Hlk62548567"/>
      <w:bookmarkEnd w:id="1"/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Times New Roman" w:cs="Arial" w:ascii="Arial" w:hAnsi="Arial"/>
          <w:b/>
          <w:color w:val="0000FF"/>
          <w:sz w:val="22"/>
        </w:rPr>
        <w:t>Serwety operacyjne, podkłady i zestawy zabiegowe</w:t>
      </w:r>
    </w:p>
    <w:p>
      <w:pPr>
        <w:pStyle w:val="Normal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(nr postępowania: SPZZOZ-ZP-2</w:t>
      </w:r>
      <w:r>
        <w:rPr>
          <w:rFonts w:ascii="Arial" w:hAnsi="Arial"/>
          <w:color w:val="000000"/>
          <w:sz w:val="22"/>
        </w:rPr>
        <w:t>9</w:t>
      </w:r>
      <w:r>
        <w:rPr>
          <w:rFonts w:ascii="Arial" w:hAnsi="Arial"/>
          <w:color w:val="000000"/>
          <w:sz w:val="22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GoBack"/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4" w:name="_Hlk95829368"/>
    <w:bookmarkStart w:id="5" w:name="_Hlk95829368"/>
    <w:bookmarkEnd w:id="5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LibreOffice/6.2.4.2$Windows_X86_64 LibreOffice_project/2412653d852ce75f65fbfa83fb7e7b669a126d64</Application>
  <Pages>2</Pages>
  <Words>341</Words>
  <Characters>2089</Characters>
  <CharactersWithSpaces>2421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2022-07-08T09:47:57Z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